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330C9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3</w:t>
      </w:r>
      <w:r w:rsidRPr="003330C9">
        <w:rPr>
          <w:rFonts w:ascii="Times New Roman" w:hAnsi="Times New Roman"/>
          <w:b/>
          <w:sz w:val="28"/>
          <w:szCs w:val="28"/>
        </w:rPr>
        <w:t>. Порядок и Хаос</w:t>
      </w:r>
    </w:p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86189" w:rsidRPr="003330C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Детерминированные и недетерминированные процессы</w:t>
      </w: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Энтропия</w:t>
      </w: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Информация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3330C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330C9">
        <w:rPr>
          <w:rFonts w:ascii="Times New Roman" w:hAnsi="Times New Roman"/>
          <w:b/>
          <w:sz w:val="28"/>
          <w:szCs w:val="28"/>
        </w:rPr>
        <w:t>1. Детерминированные и недетерминированные процессы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располагаем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относительно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входящих в нее объектов.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дезорганизованное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реальных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промежуточной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ситуацией,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характеризуемой некоторой степенью упорядоченности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Термином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cha</w:t>
      </w:r>
      <w:proofErr w:type="gramStart"/>
      <w:r w:rsidRPr="003330C9">
        <w:rPr>
          <w:rFonts w:ascii="Times New Roman" w:hAnsi="Times New Roman"/>
          <w:sz w:val="28"/>
          <w:szCs w:val="28"/>
        </w:rPr>
        <w:t>о</w:t>
      </w:r>
      <w:proofErr w:type="gramEnd"/>
      <w:r w:rsidRPr="003330C9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древние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греки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неорганизованное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Вселенной,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перемешано: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тьма,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добро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зло,…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считали,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существовала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разворачиванию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заложенного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словари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ударений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рекомендуют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ударения: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хаó</w:t>
      </w:r>
      <w:proofErr w:type="gramStart"/>
      <w:r w:rsidRPr="003330C9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хáос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беспорядка,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саморазвитию.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застывшим.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процессом.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разными.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случайными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 непредсказуемые процессы.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противостоят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детерминированные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протекание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протекание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какой-то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Иначе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говоря,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предугадываемые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какой-то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Стохастичность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(греч</w:t>
      </w:r>
      <w:proofErr w:type="gramStart"/>
      <w:r w:rsidRPr="003330C9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ζηόχος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ц</w:t>
      </w:r>
      <w:proofErr w:type="gramEnd"/>
      <w:r w:rsidRPr="003330C9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предположение)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означает случайность.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процесс,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которого не является детерминированным, и последующее состояние такой системы описывается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 случайными.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Однако</w:t>
      </w:r>
      <w:proofErr w:type="gramStart"/>
      <w:r w:rsidRPr="003330C9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(неважно, детерминированное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вероятностное)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анализе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терминах вероятностей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 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 вероятностей, стохастические).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236FF5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36FF5">
        <w:rPr>
          <w:rFonts w:ascii="Times New Roman" w:hAnsi="Times New Roman"/>
          <w:b/>
          <w:sz w:val="28"/>
          <w:szCs w:val="28"/>
        </w:rPr>
        <w:t>2. Энтропия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греческого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ἐντροπία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поворот,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превращение.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Понятие энтропии впервые было введено в термодинамике для определения 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применяется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 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областях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науки: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вероятности </w:t>
      </w:r>
      <w:proofErr w:type="gramStart"/>
      <w:r w:rsidRPr="003330C9">
        <w:rPr>
          <w:rFonts w:ascii="Times New Roman" w:hAnsi="Times New Roman"/>
          <w:sz w:val="28"/>
          <w:szCs w:val="28"/>
        </w:rPr>
        <w:t>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макроскопического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неопределенности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какого-либо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опыта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(испытания),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количество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информации.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Все эти трактовки энтропии имеют глубокую внутреннюю связь.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функция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 сопоставить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определенное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константы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эта неопределенность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убирается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договоренности,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нуле энтропия тоже равна нулю) значение энтропии.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Пусть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находиться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ячейках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пространства,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ящике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перегородкой,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отверстие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(рис.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,а</w:t>
      </w:r>
      <w:proofErr w:type="spellEnd"/>
      <w:r w:rsidRPr="003330C9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Очевидно,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ящике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увеличить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(рис.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= 8 (рис.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 в).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Статистическим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иначе,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микросостояний системы.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10125" cy="23717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. К понятиям статистический вес и энтропия системы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рис</w:t>
      </w:r>
      <w:proofErr w:type="gram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3330C9">
        <w:rPr>
          <w:rFonts w:ascii="Times New Roman" w:hAnsi="Times New Roman"/>
          <w:sz w:val="28"/>
          <w:szCs w:val="28"/>
        </w:rPr>
        <w:t>видно,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произведению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разбить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систему: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2667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Например, если в случае 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330C9">
        <w:rPr>
          <w:rFonts w:ascii="Times New Roman" w:hAnsi="Times New Roman"/>
          <w:sz w:val="28"/>
          <w:szCs w:val="28"/>
        </w:rPr>
        <w:t>в</w:t>
      </w:r>
      <w:proofErr w:type="gramEnd"/>
      <w:r w:rsidRPr="003330C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1 + 2, то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W1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2 · 4 = 8. Если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N3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1 + 1 + 1, то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W1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W3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2 · 2 · 2 = 8. В системе с двумя пространственными ячейками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3330C9">
        <w:rPr>
          <w:rFonts w:ascii="Times New Roman" w:hAnsi="Times New Roman"/>
          <w:sz w:val="28"/>
          <w:szCs w:val="28"/>
        </w:rPr>
        <w:t>2</w:t>
      </w:r>
      <w:r w:rsidRPr="00236FF5">
        <w:rPr>
          <w:rFonts w:ascii="Times New Roman" w:hAnsi="Times New Roman"/>
          <w:sz w:val="28"/>
          <w:szCs w:val="28"/>
          <w:vertAlign w:val="superscript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. В системе, состоящей из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ячеек,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частиц имеют статистический вес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236FF5">
        <w:rPr>
          <w:rFonts w:ascii="Times New Roman" w:hAnsi="Times New Roman"/>
          <w:sz w:val="28"/>
          <w:szCs w:val="28"/>
          <w:vertAlign w:val="superscript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физической величиной – энтропией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энтропией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логарифмическую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статистического веса: 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24765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 xml:space="preserve">(2)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удобнее,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отношении,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равна сумме энтропий всех своих подсистем: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09650" cy="361950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3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так как логарифм произведения равен сумме логарифмов сомножителей.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понятию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«энтропия»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72 г"/>
        </w:smartTagPr>
        <w:r w:rsidRPr="003330C9">
          <w:rPr>
            <w:rFonts w:ascii="Times New Roman" w:hAnsi="Times New Roman"/>
            <w:sz w:val="28"/>
            <w:szCs w:val="28"/>
          </w:rPr>
          <w:t>1872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3330C9">
          <w:rPr>
            <w:rFonts w:ascii="Times New Roman" w:hAnsi="Times New Roman"/>
            <w:sz w:val="28"/>
            <w:szCs w:val="28"/>
          </w:rPr>
          <w:t>г</w:t>
        </w:r>
      </w:smartTag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австрийским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формулой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Здесь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66850" cy="24765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постоянная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Исторически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впервые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введено немецким физиком Р. </w:t>
      </w:r>
      <w:proofErr w:type="spellStart"/>
      <w:r w:rsidRPr="003330C9">
        <w:rPr>
          <w:rFonts w:ascii="Times New Roman" w:hAnsi="Times New Roman"/>
          <w:sz w:val="28"/>
          <w:szCs w:val="28"/>
        </w:rPr>
        <w:t>Клаузиусом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865 г"/>
        </w:smartTagPr>
        <w:r w:rsidRPr="003330C9">
          <w:rPr>
            <w:rFonts w:ascii="Times New Roman" w:hAnsi="Times New Roman"/>
            <w:sz w:val="28"/>
            <w:szCs w:val="28"/>
          </w:rPr>
          <w:t>1865 г</w:t>
        </w:r>
      </w:smartTag>
      <w:r w:rsidRPr="003330C9">
        <w:rPr>
          <w:rFonts w:ascii="Times New Roman" w:hAnsi="Times New Roman"/>
          <w:sz w:val="28"/>
          <w:szCs w:val="28"/>
        </w:rPr>
        <w:t>. для термодинамических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процессов.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принципов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изолированной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изменяется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обратимых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процессах.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Обратимыми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процессами называются такие процессы, при которых систему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вернуть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промежуточные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Реальные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вследствие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излучения,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сопровождаются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диссипацией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dissipatio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рассеяние).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Действительно,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изолированной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наличии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диссипативных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происходит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перераспределение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становится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возрастают,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стремясь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максимально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которое достигается в равновесном состоянии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Очевидно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температуре,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нулю, 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всякое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прекращается,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единственным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обращается в нуль: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90625" cy="361950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</w:t>
      </w:r>
      <w:r w:rsidRPr="003330C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Нернста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немецкого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химика В. Нернста), или третьим началом термодинамики.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ясно,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смысл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близости к хаосу.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Понятно,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взаимодействующих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отдельными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понижаться.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древнегреческой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мифологии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330C9">
        <w:rPr>
          <w:rFonts w:ascii="Times New Roman" w:hAnsi="Times New Roman"/>
          <w:sz w:val="28"/>
          <w:szCs w:val="28"/>
        </w:rPr>
        <w:t>с</w:t>
      </w:r>
      <w:proofErr w:type="gramEnd"/>
      <w:r w:rsidRPr="003330C9">
        <w:rPr>
          <w:rFonts w:ascii="Times New Roman" w:hAnsi="Times New Roman"/>
          <w:sz w:val="28"/>
          <w:szCs w:val="28"/>
        </w:rPr>
        <w:t>haos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беспредельное,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бесформенное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мира)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ограниченной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247650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C9">
        <w:rPr>
          <w:rFonts w:ascii="Times New Roman" w:hAnsi="Times New Roman"/>
          <w:sz w:val="28"/>
          <w:szCs w:val="28"/>
        </w:rPr>
        <w:t>требуется,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 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228600"/>
            <wp:effectExtent l="1905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2E4057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E4057">
        <w:rPr>
          <w:rFonts w:ascii="Times New Roman" w:hAnsi="Times New Roman"/>
          <w:b/>
          <w:sz w:val="28"/>
          <w:szCs w:val="28"/>
        </w:rPr>
        <w:t>3. Информация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Степень хаоса в системе можно измерить, найдя ее энтропию. А как измерить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предполагает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знаниями или 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 кем-то поделиться, кому-то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передать, иначе от них нет никакой пользы.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informatio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разъяснение,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изложение)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сигналов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выступать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живые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организмы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клетки,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устройства.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отмечал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академик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Глушков: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материальные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созданные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неоднородности.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Всякая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неоднородность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какую-то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отклонение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сторону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структурирования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повышает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уменьшается,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австрийский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Шредингер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(1887–1961)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считать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«минус».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Французский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специалист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3330C9">
        <w:rPr>
          <w:rFonts w:ascii="Times New Roman" w:hAnsi="Times New Roman"/>
          <w:sz w:val="28"/>
          <w:szCs w:val="28"/>
        </w:rPr>
        <w:t>Бриллюэн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(1889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1969)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негэнтропией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приращение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95375" cy="457200"/>
            <wp:effectExtent l="19050" t="0" r="9525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Всякое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закодированное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какими-либо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себе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неопределенность,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пропорциональную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 сочетаний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позициям,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охарактеризована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условии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равновероятности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встречаемости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 представлена в виде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247650"/>
            <wp:effectExtent l="19050" t="0" r="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6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пропорциональности,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полагается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равным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единице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p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смысловом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(семантическом)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аспекте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деградации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связанную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рассеянием: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высокого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производиться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потенциальная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поднятого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груза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направленного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фотонов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солнечном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свете),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превращается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низкого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заметного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вклада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уменьшение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требуется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огромное количество информации, выраженной в битах.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простых,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телеграфных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предназначенных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предложенный французским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изобретателем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5-разрядный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алфавит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двух символов.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выборок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 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695E5C">
        <w:rPr>
          <w:rFonts w:ascii="Times New Roman" w:hAnsi="Times New Roman"/>
          <w:sz w:val="28"/>
          <w:szCs w:val="28"/>
          <w:vertAlign w:val="superscript"/>
        </w:rPr>
        <w:t>n</w:t>
      </w:r>
      <w:r w:rsidRPr="003330C9">
        <w:rPr>
          <w:rFonts w:ascii="Times New Roman" w:hAnsi="Times New Roman"/>
          <w:sz w:val="28"/>
          <w:szCs w:val="28"/>
        </w:rPr>
        <w:t>=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25=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32.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языке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обеспечивает передачу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букв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алфавита,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буквы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ѐ.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входе канала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ошибкам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 выходе.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помехоустойчивости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помимо смысловой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ответственных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случаях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 дублирование передаваемой информации.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Природа поступила мудрее. В генетическом коде используются 3-буквенные слова (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 основе 4-символьного алфавита (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4), образованного следующими нуклеотидами: А – </w:t>
      </w:r>
      <w:proofErr w:type="spellStart"/>
      <w:r w:rsidRPr="003330C9">
        <w:rPr>
          <w:rFonts w:ascii="Times New Roman" w:hAnsi="Times New Roman"/>
          <w:sz w:val="28"/>
          <w:szCs w:val="28"/>
        </w:rPr>
        <w:t>аденин</w:t>
      </w:r>
      <w:proofErr w:type="spellEnd"/>
      <w:r w:rsidRPr="003330C9">
        <w:rPr>
          <w:rFonts w:ascii="Times New Roman" w:hAnsi="Times New Roman"/>
          <w:sz w:val="28"/>
          <w:szCs w:val="28"/>
        </w:rPr>
        <w:t>, Г – гуанин,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урацил</w:t>
      </w:r>
      <w:proofErr w:type="spellEnd"/>
      <w:r w:rsidRPr="003330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330C9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цитозин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аминокислоту, входящую в состав белка. Число выборок в этом случае составляет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695E5C">
        <w:rPr>
          <w:rFonts w:ascii="Times New Roman" w:hAnsi="Times New Roman"/>
          <w:sz w:val="28"/>
          <w:szCs w:val="28"/>
          <w:vertAlign w:val="superscript"/>
        </w:rPr>
        <w:t>n</w:t>
      </w:r>
      <w:r w:rsidRPr="003330C9">
        <w:rPr>
          <w:rFonts w:ascii="Times New Roman" w:hAnsi="Times New Roman"/>
          <w:sz w:val="28"/>
          <w:szCs w:val="28"/>
        </w:rPr>
        <w:t>=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43=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64, а число возможных сочетаний с повторением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20.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аминокислот,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природных,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клеток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организмов,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живущих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Земле.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избыточность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высокую помехоустойчивость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мутациям.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ДНК,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содержащий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последовательности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нуклеотидов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белке,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набором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аллели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разновидности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гена.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Наличие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популяциях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аллелей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каждого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 полиморфизму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комбинативной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изменчивости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размножении,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материалом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эволюции.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служебных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команд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«начать»,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«пропустить»,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«закончить»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трансляции)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синтезе конкретного белка.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одинаковое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значимость.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оценена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объектами,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участвуют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обмене информацией.</w:t>
      </w:r>
    </w:p>
    <w:p w:rsidR="00E367BF" w:rsidRDefault="00486189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6189"/>
    <w:rsid w:val="00366805"/>
    <w:rsid w:val="00486189"/>
    <w:rsid w:val="00626CD7"/>
    <w:rsid w:val="00D04FC6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8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189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18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8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189"/>
    <w:rPr>
      <w:rFonts w:ascii="Calibri" w:eastAsia="Calibri" w:hAnsi="Calibri" w:cs="Times New Roman"/>
    </w:rPr>
  </w:style>
  <w:style w:type="character" w:styleId="a8">
    <w:name w:val="Hyperlink"/>
    <w:basedOn w:val="a0"/>
    <w:rsid w:val="00486189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486189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486189"/>
    <w:rPr>
      <w:sz w:val="24"/>
      <w:szCs w:val="24"/>
      <w:lang/>
    </w:rPr>
  </w:style>
  <w:style w:type="paragraph" w:styleId="aa">
    <w:name w:val="Normal (Web)"/>
    <w:basedOn w:val="a"/>
    <w:link w:val="a9"/>
    <w:rsid w:val="00486189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/>
    </w:rPr>
  </w:style>
  <w:style w:type="paragraph" w:styleId="ab">
    <w:name w:val="Balloon Text"/>
    <w:basedOn w:val="a"/>
    <w:link w:val="ac"/>
    <w:uiPriority w:val="99"/>
    <w:semiHidden/>
    <w:unhideWhenUsed/>
    <w:rsid w:val="0048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1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1607</Words>
  <Characters>9163</Characters>
  <Application>Microsoft Office Word</Application>
  <DocSecurity>0</DocSecurity>
  <Lines>76</Lines>
  <Paragraphs>21</Paragraphs>
  <ScaleCrop>false</ScaleCrop>
  <Company>Microsoft</Company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2021-10-03T12:31:00Z</dcterms:created>
  <dcterms:modified xsi:type="dcterms:W3CDTF">2021-10-03T12:31:00Z</dcterms:modified>
</cp:coreProperties>
</file>